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38502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385020" w:rsidP="00A826B0">
            <w:pPr>
              <w:rPr>
                <w:sz w:val="20"/>
                <w:szCs w:val="20"/>
              </w:rPr>
            </w:pPr>
            <w:r>
              <w:rPr>
                <w:noProof/>
                <w:lang w:eastAsia="ru-RU"/>
              </w:rPr>
              <w:drawing>
                <wp:inline distT="0" distB="0" distL="0" distR="0" wp14:anchorId="77A50022" wp14:editId="5FC3C8EC">
                  <wp:extent cx="791004" cy="791004"/>
                  <wp:effectExtent l="0" t="0" r="9525" b="9525"/>
                  <wp:docPr id="707"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Рисунок 706"/>
                          <pic:cNvPicPr>
                            <a:picLocks noChangeAspect="1"/>
                          </pic:cNvPicPr>
                        </pic:nvPicPr>
                        <pic:blipFill>
                          <a:blip r:embed="rId4"/>
                          <a:stretch>
                            <a:fillRect/>
                          </a:stretch>
                        </pic:blipFill>
                        <pic:spPr>
                          <a:xfrm>
                            <a:off x="0" y="0"/>
                            <a:ext cx="791004" cy="791004"/>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385020" w:rsidP="00214CBA">
            <w:pPr>
              <w:jc w:val="center"/>
            </w:pPr>
            <w:r>
              <w:rPr>
                <w:bCs/>
                <w:sz w:val="20"/>
                <w:szCs w:val="20"/>
              </w:rPr>
              <w:t>1139</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385020">
            <w:pPr>
              <w:jc w:val="center"/>
              <w:rPr>
                <w:lang w:val="en-US"/>
              </w:rPr>
            </w:pPr>
            <w:r>
              <w:rPr>
                <w:bCs/>
                <w:color w:val="000000"/>
                <w:sz w:val="20"/>
                <w:szCs w:val="20"/>
              </w:rPr>
              <w:t>84</w:t>
            </w:r>
            <w:r w:rsidR="00385020">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 xml:space="preserve">Качалка должна быть предназначена для использования </w:t>
            </w:r>
            <w:r w:rsidR="00385020">
              <w:rPr>
                <w:bCs/>
                <w:sz w:val="20"/>
                <w:szCs w:val="20"/>
              </w:rPr>
              <w:t>двумя детьми</w:t>
            </w:r>
            <w:r w:rsidRPr="00D4186D">
              <w:rPr>
                <w:bCs/>
                <w:sz w:val="20"/>
                <w:szCs w:val="20"/>
              </w:rPr>
              <w:t>.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35746">
              <w:rPr>
                <w:bCs/>
                <w:sz w:val="20"/>
                <w:szCs w:val="20"/>
              </w:rPr>
              <w:t>птицы</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w:t>
            </w:r>
            <w:r w:rsidR="00385020">
              <w:rPr>
                <w:bCs/>
                <w:sz w:val="20"/>
                <w:szCs w:val="20"/>
              </w:rPr>
              <w:t>500</w:t>
            </w:r>
            <w:r w:rsidRPr="00D4186D">
              <w:rPr>
                <w:bCs/>
                <w:sz w:val="20"/>
                <w:szCs w:val="20"/>
              </w:rPr>
              <w:t xml:space="preserve">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385020"/>
    <w:rsid w:val="00546E68"/>
    <w:rsid w:val="00605D5E"/>
    <w:rsid w:val="00935746"/>
    <w:rsid w:val="00A826B0"/>
    <w:rsid w:val="00B60488"/>
    <w:rsid w:val="00CB529F"/>
    <w:rsid w:val="00D4186D"/>
    <w:rsid w:val="00E67A00"/>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2021-12-24T15:43:00Z</dcterms:created>
  <dcterms:modified xsi:type="dcterms:W3CDTF">2021-12-24T15:43:00Z</dcterms:modified>
</cp:coreProperties>
</file>