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76" w:type="dxa"/>
        <w:tblInd w:w="-572" w:type="dxa"/>
        <w:tblLayout w:type="fixed"/>
        <w:tblLook w:val="0000" w:firstRow="0" w:lastRow="0" w:firstColumn="0" w:lastColumn="0" w:noHBand="0" w:noVBand="0"/>
      </w:tblPr>
      <w:tblGrid>
        <w:gridCol w:w="541"/>
        <w:gridCol w:w="2025"/>
        <w:gridCol w:w="3826"/>
        <w:gridCol w:w="2884"/>
      </w:tblGrid>
      <w:tr w:rsidR="00BA6FAF" w:rsidTr="00BA6FAF">
        <w:tc>
          <w:tcPr>
            <w:tcW w:w="541" w:type="dxa"/>
            <w:tcBorders>
              <w:top w:val="single" w:sz="4" w:space="0" w:color="000000"/>
              <w:left w:val="single" w:sz="4" w:space="0" w:color="000000"/>
              <w:bottom w:val="single" w:sz="4" w:space="0" w:color="000000"/>
            </w:tcBorders>
            <w:shd w:val="clear" w:color="auto" w:fill="auto"/>
          </w:tcPr>
          <w:p w:rsidR="00BA6FAF" w:rsidRDefault="00BA6FAF" w:rsidP="00BD3657">
            <w:pPr>
              <w:jc w:val="center"/>
              <w:rPr>
                <w:sz w:val="20"/>
                <w:szCs w:val="20"/>
              </w:rPr>
            </w:pPr>
            <w:bookmarkStart w:id="0" w:name="_GoBack"/>
            <w:bookmarkEnd w:id="0"/>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BA6FAF" w:rsidRDefault="00BA6FAF" w:rsidP="00BD3657">
            <w:pPr>
              <w:jc w:val="center"/>
              <w:rPr>
                <w:sz w:val="20"/>
                <w:szCs w:val="20"/>
              </w:rPr>
            </w:pPr>
            <w:r>
              <w:rPr>
                <w:sz w:val="20"/>
                <w:szCs w:val="20"/>
              </w:rPr>
              <w:t>Наименование товара</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6FAF" w:rsidRDefault="00BA6FAF" w:rsidP="00BD3657">
            <w:pPr>
              <w:jc w:val="center"/>
            </w:pPr>
            <w:r>
              <w:rPr>
                <w:bCs/>
                <w:sz w:val="20"/>
                <w:szCs w:val="20"/>
              </w:rPr>
              <w:t>Наименование показателя, технического, функционального параметра, ед. изм. Показателя</w:t>
            </w:r>
          </w:p>
        </w:tc>
      </w:tr>
      <w:tr w:rsidR="00BA6FAF" w:rsidTr="00BA6FAF">
        <w:trPr>
          <w:trHeight w:val="268"/>
        </w:trPr>
        <w:tc>
          <w:tcPr>
            <w:tcW w:w="541" w:type="dxa"/>
            <w:vMerge w:val="restart"/>
            <w:tcBorders>
              <w:top w:val="single" w:sz="4" w:space="0" w:color="000000"/>
              <w:left w:val="single" w:sz="4" w:space="0" w:color="000000"/>
            </w:tcBorders>
            <w:shd w:val="clear" w:color="auto" w:fill="auto"/>
          </w:tcPr>
          <w:p w:rsidR="00BA6FAF" w:rsidRDefault="00BA6FAF"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tcBorders>
            <w:shd w:val="clear" w:color="auto" w:fill="auto"/>
          </w:tcPr>
          <w:p w:rsidR="00FE22D1" w:rsidRDefault="00FE22D1" w:rsidP="00BD3657">
            <w:pPr>
              <w:rPr>
                <w:sz w:val="20"/>
                <w:szCs w:val="20"/>
              </w:rPr>
            </w:pPr>
            <w:r>
              <w:rPr>
                <w:sz w:val="20"/>
                <w:szCs w:val="20"/>
              </w:rPr>
              <w:t>Ворота</w:t>
            </w:r>
          </w:p>
          <w:p w:rsidR="00BA6FAF" w:rsidRDefault="00BA6FAF" w:rsidP="00BD3657">
            <w:pPr>
              <w:rPr>
                <w:sz w:val="20"/>
                <w:szCs w:val="20"/>
              </w:rPr>
            </w:pPr>
            <w:r>
              <w:rPr>
                <w:sz w:val="20"/>
                <w:szCs w:val="20"/>
              </w:rPr>
              <w:t>Примерный эскиз</w:t>
            </w:r>
          </w:p>
          <w:p w:rsidR="00BA6FAF" w:rsidRDefault="00FE22D1" w:rsidP="00A826B0">
            <w:pPr>
              <w:rPr>
                <w:sz w:val="20"/>
                <w:szCs w:val="20"/>
              </w:rPr>
            </w:pPr>
            <w:r>
              <w:rPr>
                <w:b/>
                <w:noProof/>
                <w:color w:val="7030A0"/>
                <w:lang w:eastAsia="ru-RU"/>
              </w:rPr>
              <w:drawing>
                <wp:inline distT="0" distB="0" distL="0" distR="0">
                  <wp:extent cx="1074077" cy="954157"/>
                  <wp:effectExtent l="0" t="0" r="0" b="0"/>
                  <wp:docPr id="1" name="Рисунок 1" descr="R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 20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77029" cy="956779"/>
                          </a:xfrm>
                          <a:prstGeom prst="rect">
                            <a:avLst/>
                          </a:prstGeom>
                          <a:noFill/>
                          <a:ln>
                            <a:noFill/>
                          </a:ln>
                        </pic:spPr>
                      </pic:pic>
                    </a:graphicData>
                  </a:graphic>
                </wp:inline>
              </w:drawing>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E22D1" w:rsidRPr="00FE22D1" w:rsidRDefault="00FE22D1" w:rsidP="00FE22D1">
            <w:pPr>
              <w:jc w:val="both"/>
              <w:rPr>
                <w:sz w:val="20"/>
                <w:szCs w:val="20"/>
              </w:rPr>
            </w:pPr>
            <w:r w:rsidRPr="00FE22D1">
              <w:rPr>
                <w:sz w:val="20"/>
                <w:szCs w:val="20"/>
              </w:rPr>
              <w:t>Ворота футбольные предназначены для установки на территориях спортивных и игровых зон, зон отдыха для активных игр и физических тренировок. Могут эксплуатироваться круглогодично.</w:t>
            </w:r>
          </w:p>
          <w:p w:rsidR="00FE22D1" w:rsidRPr="00FE22D1" w:rsidRDefault="00FE22D1" w:rsidP="00FE22D1">
            <w:pPr>
              <w:jc w:val="both"/>
              <w:rPr>
                <w:sz w:val="20"/>
                <w:szCs w:val="20"/>
              </w:rPr>
            </w:pPr>
            <w:r w:rsidRPr="00FE22D1">
              <w:rPr>
                <w:sz w:val="20"/>
                <w:szCs w:val="20"/>
              </w:rPr>
              <w:t>Ворота футбольные соответствует требованиям современного дизайна, отвечает требованиям безопасности пользователя, заложенным в Европейских нормах и ГОСТах РФ. Производятся в соответствии со стандартом ISO 9001-2008.  Все применяемые материалы имеют гигиенические сертификаты и разрешены к применению при изготовлении продукции для детей.</w:t>
            </w:r>
          </w:p>
          <w:p w:rsidR="00FE22D1" w:rsidRPr="00FE22D1" w:rsidRDefault="00FE22D1" w:rsidP="00FE22D1">
            <w:pPr>
              <w:jc w:val="both"/>
              <w:rPr>
                <w:sz w:val="20"/>
                <w:szCs w:val="20"/>
              </w:rPr>
            </w:pPr>
            <w:r w:rsidRPr="00FE22D1">
              <w:rPr>
                <w:sz w:val="20"/>
                <w:szCs w:val="20"/>
              </w:rPr>
              <w:t>Изделие должно сопровождаться паспортом, включающим информацию о предназначении, комплектации, указания по сборке, монтажные схемы, правила безопасной эксплуатации, рекомендации по обслуживанию.</w:t>
            </w:r>
          </w:p>
          <w:p w:rsidR="00FE22D1" w:rsidRPr="00FE22D1" w:rsidRDefault="00FE22D1" w:rsidP="00FE22D1">
            <w:pPr>
              <w:jc w:val="both"/>
              <w:rPr>
                <w:sz w:val="20"/>
                <w:szCs w:val="20"/>
              </w:rPr>
            </w:pPr>
            <w:r w:rsidRPr="00FE22D1">
              <w:rPr>
                <w:sz w:val="20"/>
                <w:szCs w:val="20"/>
              </w:rPr>
              <w:t>Металлические детали окрашены полимерной порошковой эмалью методом запекания в заводских условиях.  Порошковая эмаль имеет высокую стойкость к климатическим условиям и эстетичный внешний вид.</w:t>
            </w:r>
          </w:p>
          <w:p w:rsidR="00FE22D1" w:rsidRPr="00FE22D1" w:rsidRDefault="00FE22D1" w:rsidP="00FE22D1">
            <w:pPr>
              <w:jc w:val="both"/>
              <w:rPr>
                <w:sz w:val="20"/>
                <w:szCs w:val="20"/>
              </w:rPr>
            </w:pPr>
            <w:r w:rsidRPr="00FE22D1">
              <w:rPr>
                <w:sz w:val="20"/>
                <w:szCs w:val="20"/>
              </w:rPr>
              <w:t>Выступающие крепежные элементы закрыты антивандальными декоративными заглушками из полиэтилена. Торцы труб закрыты пластиковыми заглушками.</w:t>
            </w:r>
          </w:p>
          <w:p w:rsidR="00FE22D1" w:rsidRPr="00FE22D1" w:rsidRDefault="00FE22D1" w:rsidP="00FE22D1">
            <w:pPr>
              <w:jc w:val="both"/>
              <w:rPr>
                <w:sz w:val="20"/>
                <w:szCs w:val="20"/>
              </w:rPr>
            </w:pPr>
            <w:r w:rsidRPr="00FE22D1">
              <w:rPr>
                <w:sz w:val="20"/>
                <w:szCs w:val="20"/>
              </w:rPr>
              <w:t>Все крепежные элементы должны быть оцинкованы.</w:t>
            </w:r>
          </w:p>
          <w:p w:rsidR="00BA6FAF" w:rsidRDefault="00FE22D1" w:rsidP="00FE22D1">
            <w:pPr>
              <w:jc w:val="both"/>
            </w:pPr>
            <w:r w:rsidRPr="00FE22D1">
              <w:rPr>
                <w:sz w:val="20"/>
                <w:szCs w:val="20"/>
              </w:rPr>
              <w:t>Монтаж ворот футбольных производится путем бетонирования стоек в грунт в колодец глубиной не менее 905 мм.</w:t>
            </w:r>
          </w:p>
        </w:tc>
      </w:tr>
      <w:tr w:rsidR="00BA6FAF" w:rsidTr="00BA6FAF">
        <w:trPr>
          <w:trHeight w:val="268"/>
        </w:trPr>
        <w:tc>
          <w:tcPr>
            <w:tcW w:w="541" w:type="dxa"/>
            <w:vMerge/>
            <w:tcBorders>
              <w:left w:val="single" w:sz="4" w:space="0" w:color="000000"/>
            </w:tcBorders>
            <w:shd w:val="clear" w:color="auto" w:fill="auto"/>
          </w:tcPr>
          <w:p w:rsidR="00BA6FAF" w:rsidRDefault="00BA6FAF" w:rsidP="00BD3657">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BA6FAF" w:rsidRDefault="00BA6FAF"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6FAF" w:rsidRDefault="00BA6FAF" w:rsidP="00BD3657">
            <w:pPr>
              <w:jc w:val="center"/>
            </w:pPr>
            <w:r>
              <w:rPr>
                <w:sz w:val="20"/>
                <w:szCs w:val="20"/>
              </w:rPr>
              <w:t>Внешние размеры</w:t>
            </w:r>
          </w:p>
        </w:tc>
      </w:tr>
      <w:tr w:rsidR="00BA6FAF" w:rsidTr="00BA6FAF">
        <w:trPr>
          <w:trHeight w:val="107"/>
        </w:trPr>
        <w:tc>
          <w:tcPr>
            <w:tcW w:w="541" w:type="dxa"/>
            <w:vMerge/>
            <w:tcBorders>
              <w:left w:val="single" w:sz="4" w:space="0" w:color="000000"/>
            </w:tcBorders>
            <w:shd w:val="clear" w:color="auto" w:fill="auto"/>
          </w:tcPr>
          <w:p w:rsidR="00BA6FAF" w:rsidRDefault="00BA6FAF" w:rsidP="00501E4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BA6FAF" w:rsidRDefault="00BA6FAF"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6FAF" w:rsidRPr="00501E49" w:rsidRDefault="00BA6FAF" w:rsidP="00E151B9">
            <w:pPr>
              <w:snapToGrid w:val="0"/>
              <w:ind w:firstLine="142"/>
              <w:rPr>
                <w:bCs/>
                <w:sz w:val="20"/>
                <w:szCs w:val="20"/>
              </w:rPr>
            </w:pPr>
            <w:r w:rsidRPr="00501E49">
              <w:rPr>
                <w:bCs/>
                <w:sz w:val="20"/>
                <w:szCs w:val="20"/>
              </w:rPr>
              <w:t>Высота</w:t>
            </w:r>
            <w:r>
              <w:rPr>
                <w:bCs/>
                <w:sz w:val="20"/>
                <w:szCs w:val="20"/>
              </w:rPr>
              <w:t xml:space="preserve"> (надземная)</w:t>
            </w:r>
            <w:r w:rsidRPr="00501E49">
              <w:rPr>
                <w:bCs/>
                <w:sz w:val="20"/>
                <w:szCs w:val="20"/>
              </w:rPr>
              <w:t xml:space="preserve"> (мм) </w:t>
            </w:r>
            <w:r>
              <w:rPr>
                <w:bCs/>
                <w:sz w:val="20"/>
                <w:szCs w:val="20"/>
              </w:rPr>
              <w:t>±50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FAF" w:rsidRPr="00A660BC" w:rsidRDefault="00FE22D1" w:rsidP="00BA6FAF">
            <w:pPr>
              <w:snapToGrid w:val="0"/>
              <w:contextualSpacing/>
              <w:jc w:val="center"/>
              <w:rPr>
                <w:bCs/>
                <w:sz w:val="20"/>
                <w:szCs w:val="20"/>
              </w:rPr>
            </w:pPr>
            <w:r>
              <w:rPr>
                <w:bCs/>
                <w:sz w:val="20"/>
                <w:szCs w:val="20"/>
              </w:rPr>
              <w:t>2438</w:t>
            </w:r>
          </w:p>
        </w:tc>
      </w:tr>
      <w:tr w:rsidR="00BA6FAF" w:rsidTr="00BA6FAF">
        <w:trPr>
          <w:trHeight w:val="200"/>
        </w:trPr>
        <w:tc>
          <w:tcPr>
            <w:tcW w:w="541" w:type="dxa"/>
            <w:vMerge/>
            <w:tcBorders>
              <w:left w:val="single" w:sz="4" w:space="0" w:color="000000"/>
            </w:tcBorders>
            <w:shd w:val="clear" w:color="auto" w:fill="auto"/>
          </w:tcPr>
          <w:p w:rsidR="00BA6FAF" w:rsidRDefault="00BA6FAF" w:rsidP="00501E4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BA6FAF" w:rsidRDefault="00BA6FAF"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6FAF" w:rsidRPr="00501E49" w:rsidRDefault="00BA6FAF" w:rsidP="00CF0E63">
            <w:pPr>
              <w:snapToGrid w:val="0"/>
              <w:ind w:firstLine="142"/>
              <w:rPr>
                <w:bCs/>
                <w:sz w:val="20"/>
                <w:szCs w:val="20"/>
              </w:rPr>
            </w:pPr>
            <w:r w:rsidRPr="00501E49">
              <w:rPr>
                <w:bCs/>
                <w:sz w:val="20"/>
                <w:szCs w:val="20"/>
              </w:rPr>
              <w:t>Длина (мм)</w:t>
            </w:r>
            <w:r>
              <w:rPr>
                <w:bCs/>
                <w:sz w:val="20"/>
                <w:szCs w:val="20"/>
              </w:rPr>
              <w:t xml:space="preserve"> ±50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A6FAF" w:rsidRPr="00B66B8E" w:rsidRDefault="00FE22D1" w:rsidP="00E151B9">
            <w:pPr>
              <w:snapToGrid w:val="0"/>
              <w:contextualSpacing/>
              <w:jc w:val="center"/>
              <w:rPr>
                <w:bCs/>
                <w:sz w:val="20"/>
                <w:szCs w:val="20"/>
              </w:rPr>
            </w:pPr>
            <w:r>
              <w:rPr>
                <w:bCs/>
                <w:sz w:val="20"/>
                <w:szCs w:val="20"/>
              </w:rPr>
              <w:t>5576</w:t>
            </w:r>
          </w:p>
        </w:tc>
      </w:tr>
      <w:tr w:rsidR="00BA6FAF" w:rsidTr="00BA6FAF">
        <w:trPr>
          <w:trHeight w:val="245"/>
        </w:trPr>
        <w:tc>
          <w:tcPr>
            <w:tcW w:w="541" w:type="dxa"/>
            <w:vMerge/>
            <w:tcBorders>
              <w:left w:val="single" w:sz="4" w:space="0" w:color="000000"/>
            </w:tcBorders>
            <w:shd w:val="clear" w:color="auto" w:fill="auto"/>
          </w:tcPr>
          <w:p w:rsidR="00BA6FAF" w:rsidRDefault="00BA6FAF" w:rsidP="00501E4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BA6FAF" w:rsidRDefault="00BA6FAF"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6FAF" w:rsidRPr="00501E49" w:rsidRDefault="00BA6FAF" w:rsidP="00501E49">
            <w:pPr>
              <w:snapToGrid w:val="0"/>
              <w:ind w:firstLine="142"/>
              <w:rPr>
                <w:bCs/>
                <w:sz w:val="20"/>
                <w:szCs w:val="20"/>
              </w:rPr>
            </w:pPr>
            <w:r w:rsidRPr="00501E49">
              <w:rPr>
                <w:bCs/>
                <w:sz w:val="20"/>
                <w:szCs w:val="20"/>
              </w:rPr>
              <w:t>Ширина (мм)</w:t>
            </w:r>
            <w:r>
              <w:rPr>
                <w:bCs/>
                <w:sz w:val="20"/>
                <w:szCs w:val="20"/>
              </w:rPr>
              <w:t xml:space="preserve"> ±50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A6FAF" w:rsidRPr="00E151B9" w:rsidRDefault="00FE22D1" w:rsidP="00E151B9">
            <w:pPr>
              <w:snapToGrid w:val="0"/>
              <w:contextualSpacing/>
              <w:jc w:val="center"/>
              <w:rPr>
                <w:bCs/>
                <w:sz w:val="20"/>
                <w:szCs w:val="20"/>
              </w:rPr>
            </w:pPr>
            <w:r>
              <w:rPr>
                <w:bCs/>
                <w:sz w:val="20"/>
                <w:szCs w:val="20"/>
              </w:rPr>
              <w:t>1545</w:t>
            </w:r>
          </w:p>
        </w:tc>
      </w:tr>
      <w:tr w:rsidR="00BA6FAF" w:rsidTr="00BA6FAF">
        <w:trPr>
          <w:trHeight w:val="180"/>
        </w:trPr>
        <w:tc>
          <w:tcPr>
            <w:tcW w:w="541" w:type="dxa"/>
            <w:vMerge/>
            <w:tcBorders>
              <w:left w:val="single" w:sz="4" w:space="0" w:color="000000"/>
            </w:tcBorders>
            <w:shd w:val="clear" w:color="auto" w:fill="auto"/>
          </w:tcPr>
          <w:p w:rsidR="00BA6FAF" w:rsidRDefault="00BA6FAF" w:rsidP="00BD3657">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BA6FAF" w:rsidRDefault="00BA6FAF"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6FAF" w:rsidRDefault="00BA6FAF" w:rsidP="00BD3657">
            <w:pPr>
              <w:jc w:val="center"/>
            </w:pPr>
            <w:r>
              <w:rPr>
                <w:sz w:val="20"/>
                <w:szCs w:val="20"/>
              </w:rPr>
              <w:t>Комплектация</w:t>
            </w:r>
          </w:p>
        </w:tc>
      </w:tr>
      <w:tr w:rsidR="00FE22D1" w:rsidTr="00BA6FAF">
        <w:trPr>
          <w:trHeight w:val="85"/>
        </w:trPr>
        <w:tc>
          <w:tcPr>
            <w:tcW w:w="541" w:type="dxa"/>
            <w:vMerge/>
            <w:tcBorders>
              <w:left w:val="single" w:sz="4" w:space="0" w:color="000000"/>
            </w:tcBorders>
            <w:shd w:val="clear" w:color="auto" w:fill="auto"/>
          </w:tcPr>
          <w:p w:rsidR="00FE22D1" w:rsidRDefault="00FE22D1" w:rsidP="00FE22D1">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FE22D1" w:rsidRDefault="00FE22D1" w:rsidP="00FE22D1">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E22D1" w:rsidRPr="00FE22D1" w:rsidRDefault="00FE22D1" w:rsidP="00FE22D1">
            <w:pPr>
              <w:rPr>
                <w:sz w:val="20"/>
                <w:szCs w:val="20"/>
              </w:rPr>
            </w:pPr>
            <w:r w:rsidRPr="00FE22D1">
              <w:rPr>
                <w:sz w:val="20"/>
                <w:szCs w:val="20"/>
              </w:rPr>
              <w:t>Перекладина,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E22D1" w:rsidRPr="00FE22D1" w:rsidRDefault="00FE22D1" w:rsidP="00FE22D1">
            <w:pPr>
              <w:jc w:val="center"/>
              <w:rPr>
                <w:sz w:val="20"/>
                <w:szCs w:val="20"/>
              </w:rPr>
            </w:pPr>
            <w:r w:rsidRPr="00FE22D1">
              <w:rPr>
                <w:sz w:val="20"/>
                <w:szCs w:val="20"/>
              </w:rPr>
              <w:t>1</w:t>
            </w:r>
          </w:p>
        </w:tc>
      </w:tr>
      <w:tr w:rsidR="00FE22D1" w:rsidTr="00BA6FAF">
        <w:trPr>
          <w:trHeight w:val="130"/>
        </w:trPr>
        <w:tc>
          <w:tcPr>
            <w:tcW w:w="541" w:type="dxa"/>
            <w:vMerge/>
            <w:tcBorders>
              <w:left w:val="single" w:sz="4" w:space="0" w:color="000000"/>
            </w:tcBorders>
            <w:shd w:val="clear" w:color="auto" w:fill="auto"/>
          </w:tcPr>
          <w:p w:rsidR="00FE22D1" w:rsidRDefault="00FE22D1" w:rsidP="00FE22D1">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FE22D1" w:rsidRDefault="00FE22D1" w:rsidP="00FE22D1">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E22D1" w:rsidRPr="00FE22D1" w:rsidRDefault="00FE22D1" w:rsidP="00FE22D1">
            <w:pPr>
              <w:rPr>
                <w:sz w:val="20"/>
                <w:szCs w:val="20"/>
              </w:rPr>
            </w:pPr>
            <w:r w:rsidRPr="00FE22D1">
              <w:rPr>
                <w:sz w:val="20"/>
                <w:szCs w:val="20"/>
              </w:rPr>
              <w:t>Стойка,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E22D1" w:rsidRPr="00FE22D1" w:rsidRDefault="00FE22D1" w:rsidP="00FE22D1">
            <w:pPr>
              <w:jc w:val="center"/>
              <w:rPr>
                <w:sz w:val="20"/>
                <w:szCs w:val="20"/>
              </w:rPr>
            </w:pPr>
            <w:r w:rsidRPr="00FE22D1">
              <w:rPr>
                <w:sz w:val="20"/>
                <w:szCs w:val="20"/>
              </w:rPr>
              <w:t>2</w:t>
            </w:r>
          </w:p>
        </w:tc>
      </w:tr>
      <w:tr w:rsidR="00FE22D1" w:rsidTr="00BA6FAF">
        <w:trPr>
          <w:trHeight w:val="130"/>
        </w:trPr>
        <w:tc>
          <w:tcPr>
            <w:tcW w:w="541" w:type="dxa"/>
            <w:vMerge/>
            <w:tcBorders>
              <w:left w:val="single" w:sz="4" w:space="0" w:color="000000"/>
            </w:tcBorders>
            <w:shd w:val="clear" w:color="auto" w:fill="auto"/>
          </w:tcPr>
          <w:p w:rsidR="00FE22D1" w:rsidRDefault="00FE22D1" w:rsidP="00FE22D1">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FE22D1" w:rsidRDefault="00FE22D1" w:rsidP="00FE22D1">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E22D1" w:rsidRPr="00FE22D1" w:rsidRDefault="00FE22D1" w:rsidP="00FE22D1">
            <w:pPr>
              <w:rPr>
                <w:sz w:val="20"/>
                <w:szCs w:val="20"/>
              </w:rPr>
            </w:pPr>
            <w:r w:rsidRPr="00FE22D1">
              <w:rPr>
                <w:sz w:val="20"/>
                <w:szCs w:val="20"/>
              </w:rPr>
              <w:t>Стяжка,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E22D1" w:rsidRPr="00FE22D1" w:rsidRDefault="00FE22D1" w:rsidP="00FE22D1">
            <w:pPr>
              <w:jc w:val="center"/>
              <w:rPr>
                <w:sz w:val="20"/>
                <w:szCs w:val="20"/>
              </w:rPr>
            </w:pPr>
            <w:r w:rsidRPr="00FE22D1">
              <w:rPr>
                <w:sz w:val="20"/>
                <w:szCs w:val="20"/>
              </w:rPr>
              <w:t>1</w:t>
            </w:r>
          </w:p>
        </w:tc>
      </w:tr>
      <w:tr w:rsidR="00FE22D1" w:rsidTr="00BA6FAF">
        <w:trPr>
          <w:trHeight w:val="130"/>
        </w:trPr>
        <w:tc>
          <w:tcPr>
            <w:tcW w:w="541" w:type="dxa"/>
            <w:vMerge/>
            <w:tcBorders>
              <w:left w:val="single" w:sz="4" w:space="0" w:color="000000"/>
            </w:tcBorders>
            <w:shd w:val="clear" w:color="auto" w:fill="auto"/>
          </w:tcPr>
          <w:p w:rsidR="00FE22D1" w:rsidRDefault="00FE22D1" w:rsidP="00FE22D1">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FE22D1" w:rsidRDefault="00FE22D1" w:rsidP="00FE22D1">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E22D1" w:rsidRPr="00FE22D1" w:rsidRDefault="00FE22D1" w:rsidP="00FE22D1">
            <w:pPr>
              <w:rPr>
                <w:sz w:val="20"/>
                <w:szCs w:val="20"/>
              </w:rPr>
            </w:pPr>
            <w:r w:rsidRPr="00FE22D1">
              <w:rPr>
                <w:sz w:val="20"/>
                <w:szCs w:val="20"/>
              </w:rPr>
              <w:t>Сетка,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E22D1" w:rsidRPr="00FE22D1" w:rsidRDefault="00FE22D1" w:rsidP="00FE22D1">
            <w:pPr>
              <w:jc w:val="center"/>
              <w:rPr>
                <w:sz w:val="20"/>
                <w:szCs w:val="20"/>
              </w:rPr>
            </w:pPr>
            <w:r w:rsidRPr="00FE22D1">
              <w:rPr>
                <w:sz w:val="20"/>
                <w:szCs w:val="20"/>
              </w:rPr>
              <w:t>1</w:t>
            </w:r>
          </w:p>
        </w:tc>
      </w:tr>
      <w:tr w:rsidR="00BA6FAF" w:rsidTr="00BA6FAF">
        <w:trPr>
          <w:trHeight w:val="131"/>
        </w:trPr>
        <w:tc>
          <w:tcPr>
            <w:tcW w:w="541"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6FAF" w:rsidRPr="00504A4C" w:rsidRDefault="00FE22D1" w:rsidP="00FE22D1">
            <w:pPr>
              <w:snapToGrid w:val="0"/>
              <w:ind w:firstLine="142"/>
              <w:jc w:val="center"/>
              <w:rPr>
                <w:bCs/>
                <w:sz w:val="20"/>
                <w:szCs w:val="20"/>
              </w:rPr>
            </w:pPr>
            <w:r w:rsidRPr="00FE22D1">
              <w:rPr>
                <w:sz w:val="20"/>
                <w:szCs w:val="20"/>
              </w:rPr>
              <w:t>Стойка</w:t>
            </w:r>
          </w:p>
        </w:tc>
      </w:tr>
      <w:tr w:rsidR="00BA6FAF" w:rsidTr="00BA6FAF">
        <w:trPr>
          <w:trHeight w:val="131"/>
        </w:trPr>
        <w:tc>
          <w:tcPr>
            <w:tcW w:w="541"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6FAF" w:rsidRPr="00190328" w:rsidRDefault="00FE22D1" w:rsidP="00FE22D1">
            <w:pPr>
              <w:snapToGrid w:val="0"/>
              <w:ind w:firstLine="34"/>
              <w:contextualSpacing/>
              <w:jc w:val="both"/>
              <w:rPr>
                <w:bCs/>
                <w:sz w:val="20"/>
                <w:szCs w:val="20"/>
              </w:rPr>
            </w:pPr>
            <w:r w:rsidRPr="00FE22D1">
              <w:rPr>
                <w:sz w:val="20"/>
                <w:szCs w:val="20"/>
              </w:rPr>
              <w:t>Стойки боковые (левая и правая) должны быть изготовлены в зеркальном отражении и должны состоять каждая из основной стойки, укосины и перемычки.  Основная стойка длиной не менее 3260 мм должна быть изготовлена из металлической трубы размерами не менее 76*2,0 мм. К верхнему торцу основной стойки должен быть приварен по всему периметру прилегания верхний торец укосины, которая должна быть изготовлена из гнутой металлической трубы диаметром не менее 33,5 мм, укосина должна быть выполнена в виде буквы «Г», угол сгиба между прямыми участками должен быть не более 110 градусов, не менее 108 градусов. В нижней части конструкции между укосиной и основной стойкой (перпендикулярно основной стойке) на расстоянии не более 905 мм, не менее 900 мм от нижнего торца основной стойки должна быть приварена по всему периметру прилегания перемычка, изготовленная из металлической профильной трубы длиной не менее 1210 мм размерами не менее 25*40*2,0 мм. Для обеспечения жесткости соединения угол между перемычкой и основной стойкой должен быть усилен привариванием между ними по периметру прилегания треугольной косынки, изготовленной из металлического листа толщиной не менее 4 мм со стороной равностороннего треугольника не менее 100 мм. К основной стойке и к перемычке должны быть приварены прутки диаметром 6,5мм длиной 2000мм и 1030мм с зазором для последующего крепления сетки. К нижнему торцу стойки основной для более жесткой установки при бетонировании ворот должна быть приварена квадратная металлическая пластина размерами не менее 150*150 мм из металлического листа толщиной не менее 2 мм. Для последующего крепления при помощи резьбовых соединений верхней перекладины к стойке</w:t>
            </w:r>
            <w:r>
              <w:rPr>
                <w:sz w:val="20"/>
                <w:szCs w:val="20"/>
              </w:rPr>
              <w:t xml:space="preserve"> </w:t>
            </w:r>
            <w:r w:rsidRPr="00FE22D1">
              <w:rPr>
                <w:sz w:val="20"/>
                <w:szCs w:val="20"/>
              </w:rPr>
              <w:t>верхний конец последней должен быть обжат до диаметра 71мм на длину 85мм и должно быть обработано отв. Ø 12мм</w:t>
            </w:r>
          </w:p>
        </w:tc>
      </w:tr>
      <w:tr w:rsidR="00BA6FAF" w:rsidTr="00BA6FAF">
        <w:trPr>
          <w:trHeight w:val="131"/>
        </w:trPr>
        <w:tc>
          <w:tcPr>
            <w:tcW w:w="541"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6FAF" w:rsidRPr="00D03AF7" w:rsidRDefault="00FE22D1" w:rsidP="00FE22D1">
            <w:pPr>
              <w:snapToGrid w:val="0"/>
              <w:ind w:firstLine="34"/>
              <w:contextualSpacing/>
              <w:jc w:val="center"/>
              <w:rPr>
                <w:bCs/>
                <w:sz w:val="20"/>
                <w:szCs w:val="20"/>
              </w:rPr>
            </w:pPr>
            <w:r w:rsidRPr="00FE22D1">
              <w:rPr>
                <w:bCs/>
                <w:sz w:val="20"/>
                <w:szCs w:val="20"/>
              </w:rPr>
              <w:t>Перекладина</w:t>
            </w:r>
          </w:p>
        </w:tc>
      </w:tr>
      <w:tr w:rsidR="00BA6FAF" w:rsidTr="00BA6FAF">
        <w:trPr>
          <w:trHeight w:val="131"/>
        </w:trPr>
        <w:tc>
          <w:tcPr>
            <w:tcW w:w="541"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6FAF" w:rsidRPr="00200285" w:rsidRDefault="00FE22D1" w:rsidP="003622A7">
            <w:pPr>
              <w:snapToGrid w:val="0"/>
              <w:ind w:firstLine="34"/>
              <w:contextualSpacing/>
              <w:jc w:val="both"/>
              <w:rPr>
                <w:bCs/>
                <w:sz w:val="20"/>
                <w:szCs w:val="20"/>
              </w:rPr>
            </w:pPr>
            <w:r w:rsidRPr="00FE22D1">
              <w:rPr>
                <w:bCs/>
                <w:sz w:val="20"/>
                <w:szCs w:val="20"/>
              </w:rPr>
              <w:t xml:space="preserve">Перекладина должна состоять из трубы и двух втулок, которые должны быть приварены к перекладине перпендикулярно ей по всему периметру </w:t>
            </w:r>
            <w:r w:rsidRPr="00FE22D1">
              <w:rPr>
                <w:bCs/>
                <w:sz w:val="20"/>
                <w:szCs w:val="20"/>
              </w:rPr>
              <w:lastRenderedPageBreak/>
              <w:t xml:space="preserve">прилегания. Втулки длиной не менее 166 мм, изготовленные из металлической трубы размером не менее 76*2,0 мм, должны устанавливаться на обжатые части стоек посредством резьбовых соединений. Перекладина должна быть изготовлена из металлической трубы длиной не менее 5576 мм диаметром не менее 76 мм с толщиной стенки не менее 2,0 мм. К перекладине </w:t>
            </w:r>
            <w:proofErr w:type="spellStart"/>
            <w:r w:rsidRPr="00FE22D1">
              <w:rPr>
                <w:bCs/>
                <w:sz w:val="20"/>
                <w:szCs w:val="20"/>
              </w:rPr>
              <w:t>должн</w:t>
            </w:r>
            <w:proofErr w:type="spellEnd"/>
            <w:r w:rsidRPr="00FE22D1">
              <w:rPr>
                <w:bCs/>
                <w:sz w:val="20"/>
                <w:szCs w:val="20"/>
              </w:rPr>
              <w:t xml:space="preserve"> быть приварен пруток диаметром 6,5мм длиной 5500мм с зазором для последующего крепления сетки.</w:t>
            </w:r>
          </w:p>
        </w:tc>
      </w:tr>
      <w:tr w:rsidR="00BA6FAF" w:rsidTr="00BA6FAF">
        <w:trPr>
          <w:trHeight w:val="131"/>
        </w:trPr>
        <w:tc>
          <w:tcPr>
            <w:tcW w:w="541"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6FAF" w:rsidRPr="00D03AF7" w:rsidRDefault="00BA6FAF" w:rsidP="00FE22D1">
            <w:pPr>
              <w:snapToGrid w:val="0"/>
              <w:ind w:firstLine="34"/>
              <w:contextualSpacing/>
              <w:jc w:val="center"/>
              <w:rPr>
                <w:bCs/>
                <w:sz w:val="20"/>
                <w:szCs w:val="20"/>
              </w:rPr>
            </w:pPr>
            <w:r>
              <w:rPr>
                <w:bCs/>
                <w:sz w:val="20"/>
                <w:szCs w:val="20"/>
              </w:rPr>
              <w:t>Стяжка</w:t>
            </w:r>
          </w:p>
        </w:tc>
      </w:tr>
      <w:tr w:rsidR="00BA6FAF" w:rsidTr="00BA6FAF">
        <w:trPr>
          <w:trHeight w:val="131"/>
        </w:trPr>
        <w:tc>
          <w:tcPr>
            <w:tcW w:w="541"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6FAF" w:rsidRPr="00506587" w:rsidRDefault="00FE22D1" w:rsidP="003C30D2">
            <w:pPr>
              <w:snapToGrid w:val="0"/>
              <w:ind w:firstLine="34"/>
              <w:contextualSpacing/>
              <w:jc w:val="both"/>
              <w:rPr>
                <w:bCs/>
                <w:sz w:val="20"/>
                <w:szCs w:val="20"/>
              </w:rPr>
            </w:pPr>
            <w:r w:rsidRPr="00FE22D1">
              <w:rPr>
                <w:sz w:val="20"/>
                <w:szCs w:val="20"/>
              </w:rPr>
              <w:t xml:space="preserve">Стяжка должна соединять две стойки, должна крепиться между укосинами стоек на уровне земли резьбовыми соединениями. Стяжка длиной не менее 5460 мм, должна быть изготовлена из профильной металлической трубы размером не менее 25*40*2,5 мм. К трубе </w:t>
            </w:r>
            <w:proofErr w:type="spellStart"/>
            <w:r w:rsidRPr="00FE22D1">
              <w:rPr>
                <w:sz w:val="20"/>
                <w:szCs w:val="20"/>
              </w:rPr>
              <w:t>должн</w:t>
            </w:r>
            <w:proofErr w:type="spellEnd"/>
            <w:r w:rsidRPr="00FE22D1">
              <w:rPr>
                <w:sz w:val="20"/>
                <w:szCs w:val="20"/>
              </w:rPr>
              <w:t xml:space="preserve"> быть приварен пруток диаметром 6,5мм длиной 5395мм с зазором для последующего крепления сетки.</w:t>
            </w:r>
          </w:p>
        </w:tc>
      </w:tr>
      <w:tr w:rsidR="00BA6FAF" w:rsidTr="00BA6FAF">
        <w:trPr>
          <w:trHeight w:val="131"/>
        </w:trPr>
        <w:tc>
          <w:tcPr>
            <w:tcW w:w="541"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6FAF" w:rsidRPr="00D03AF7" w:rsidRDefault="00BA6FAF" w:rsidP="00FE22D1">
            <w:pPr>
              <w:snapToGrid w:val="0"/>
              <w:ind w:firstLine="34"/>
              <w:contextualSpacing/>
              <w:jc w:val="center"/>
              <w:rPr>
                <w:bCs/>
                <w:sz w:val="20"/>
                <w:szCs w:val="20"/>
              </w:rPr>
            </w:pPr>
            <w:r>
              <w:rPr>
                <w:sz w:val="20"/>
                <w:szCs w:val="20"/>
              </w:rPr>
              <w:t>Сетка</w:t>
            </w:r>
          </w:p>
        </w:tc>
      </w:tr>
      <w:tr w:rsidR="00BA6FAF" w:rsidTr="00BA6FAF">
        <w:trPr>
          <w:trHeight w:val="131"/>
        </w:trPr>
        <w:tc>
          <w:tcPr>
            <w:tcW w:w="541"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6FAF" w:rsidRPr="00D03AF7" w:rsidRDefault="00FE22D1" w:rsidP="00190328">
            <w:pPr>
              <w:snapToGrid w:val="0"/>
              <w:ind w:firstLine="34"/>
              <w:contextualSpacing/>
              <w:rPr>
                <w:bCs/>
                <w:sz w:val="20"/>
                <w:szCs w:val="20"/>
              </w:rPr>
            </w:pPr>
            <w:r w:rsidRPr="00FE22D1">
              <w:rPr>
                <w:bCs/>
                <w:sz w:val="20"/>
                <w:szCs w:val="20"/>
              </w:rPr>
              <w:t>Сетка капроновая на ширину ворот 5,5 м (высоту 2,4 м). Диаметр шнура сетки – 2,2 мм.</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251C9"/>
    <w:rsid w:val="000440BF"/>
    <w:rsid w:val="000F245A"/>
    <w:rsid w:val="00115A5E"/>
    <w:rsid w:val="00141C9B"/>
    <w:rsid w:val="00163F49"/>
    <w:rsid w:val="00190328"/>
    <w:rsid w:val="00200285"/>
    <w:rsid w:val="0026238E"/>
    <w:rsid w:val="002636EE"/>
    <w:rsid w:val="002F089A"/>
    <w:rsid w:val="00357E36"/>
    <w:rsid w:val="003622A7"/>
    <w:rsid w:val="00366082"/>
    <w:rsid w:val="00374909"/>
    <w:rsid w:val="00387613"/>
    <w:rsid w:val="003C30D2"/>
    <w:rsid w:val="003E08C6"/>
    <w:rsid w:val="00407A94"/>
    <w:rsid w:val="0046145C"/>
    <w:rsid w:val="00501E49"/>
    <w:rsid w:val="00504A4C"/>
    <w:rsid w:val="00506587"/>
    <w:rsid w:val="00591F1A"/>
    <w:rsid w:val="00645D70"/>
    <w:rsid w:val="006B2F44"/>
    <w:rsid w:val="006C1041"/>
    <w:rsid w:val="0075049A"/>
    <w:rsid w:val="00776FE0"/>
    <w:rsid w:val="007A360D"/>
    <w:rsid w:val="00803163"/>
    <w:rsid w:val="008F5E2C"/>
    <w:rsid w:val="0091072C"/>
    <w:rsid w:val="00932FA6"/>
    <w:rsid w:val="00982643"/>
    <w:rsid w:val="009B7749"/>
    <w:rsid w:val="009C2A6A"/>
    <w:rsid w:val="009E6E70"/>
    <w:rsid w:val="009F3575"/>
    <w:rsid w:val="00A660BC"/>
    <w:rsid w:val="00A826B0"/>
    <w:rsid w:val="00B5314B"/>
    <w:rsid w:val="00B60488"/>
    <w:rsid w:val="00B66B8E"/>
    <w:rsid w:val="00BA6FAF"/>
    <w:rsid w:val="00BD4AE6"/>
    <w:rsid w:val="00BE0CC3"/>
    <w:rsid w:val="00BE0D86"/>
    <w:rsid w:val="00C0688F"/>
    <w:rsid w:val="00C22537"/>
    <w:rsid w:val="00C31874"/>
    <w:rsid w:val="00CF0E63"/>
    <w:rsid w:val="00D03AF7"/>
    <w:rsid w:val="00D36F81"/>
    <w:rsid w:val="00D4186D"/>
    <w:rsid w:val="00DD298E"/>
    <w:rsid w:val="00E151B9"/>
    <w:rsid w:val="00E40E0A"/>
    <w:rsid w:val="00ED68AA"/>
    <w:rsid w:val="00F90ACD"/>
    <w:rsid w:val="00FA1968"/>
    <w:rsid w:val="00FA753B"/>
    <w:rsid w:val="00FD00F7"/>
    <w:rsid w:val="00FD598B"/>
    <w:rsid w:val="00FD6A02"/>
    <w:rsid w:val="00FE2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78410A-2558-49BF-B724-6C6C8F45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1F1A"/>
    <w:pPr>
      <w:suppressAutoHyphens w:val="0"/>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141C9B"/>
    <w:rPr>
      <w:rFonts w:ascii="Tahoma" w:hAnsi="Tahoma" w:cs="Tahoma"/>
      <w:sz w:val="16"/>
      <w:szCs w:val="16"/>
    </w:rPr>
  </w:style>
  <w:style w:type="character" w:customStyle="1" w:styleId="a5">
    <w:name w:val="Текст выноски Знак"/>
    <w:basedOn w:val="a0"/>
    <w:link w:val="a4"/>
    <w:uiPriority w:val="99"/>
    <w:semiHidden/>
    <w:rsid w:val="00141C9B"/>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2</cp:revision>
  <dcterms:created xsi:type="dcterms:W3CDTF">2021-12-27T09:35:00Z</dcterms:created>
  <dcterms:modified xsi:type="dcterms:W3CDTF">2021-12-27T09:35:00Z</dcterms:modified>
</cp:coreProperties>
</file>